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83.png" ContentType="image/png"/>
  <Override PartName="/word/media/rId87.png" ContentType="image/png"/>
  <Override PartName="/word/media/rId107.png" ContentType="image/png"/>
  <Override PartName="/word/media/rId111.png" ContentType="image/png"/>
  <Override PartName="/word/media/rId127.png" ContentType="image/png"/>
  <Override PartName="/word/media/rId103.png" ContentType="image/png"/>
  <Override PartName="/word/media/rId115.png" ContentType="image/png"/>
  <Override PartName="/word/media/rId119.png" ContentType="image/png"/>
  <Override PartName="/word/media/rId123.png" ContentType="image/png"/>
  <Override PartName="/word/media/rId91.png" ContentType="image/png"/>
  <Override PartName="/word/media/rId95.png" ContentType="image/png"/>
  <Override PartName="/word/media/rId99.png" ContentType="image/png"/>
  <Override PartName="/word/media/rId63.png" ContentType="image/png"/>
  <Override PartName="/word/media/rId67.png" ContentType="image/png"/>
  <Override PartName="/word/media/rId75.png" ContentType="image/png"/>
  <Override PartName="/word/media/rId79.png" ContentType="image/png"/>
  <Override PartName="/word/media/rId55.png" ContentType="image/png"/>
  <Override PartName="/word/media/rId27.jpg" ContentType="image/jpeg"/>
  <Override PartName="/word/media/rId39.jpg" ContentType="image/jpeg"/>
  <Override PartName="/word/media/rId43.jpg" ContentType="image/jpeg"/>
  <Override PartName="/word/media/rId47.png" ContentType="image/png"/>
  <Override PartName="/word/media/rId35.jpg" ContentType="image/jpeg"/>
  <Override PartName="/word/media/rId31.png" ContentType="image/png"/>
  <Override PartName="/word/media/rId59.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GEMS NSF Final Report Plots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The images and data below are examples of the instruments developed and the resulting data under this project. During the first year of this project, we conducted several laboratory and field test as outlined in our proposal. Significant developments included the testing of response time and power-saving strategies, development of the GEMS underwater mass spectrometer and pumping systems and an initial short field deployment, resulting in initial gradient flux estimates.</w:t>
      </w:r>
    </w:p>
    <w:p>
      <w:pPr>
        <w:pStyle w:val="Abstract"/>
      </w:pPr>
      <w:r>
        <w:t xml:space="preserve">Developments in 2022 included a long-term deployment of the GEMS system including a solar and wind-powered surface platform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w:t>
      </w:r>
    </w:p>
    <w:p>
      <w:pPr>
        <w:pStyle w:val="Abstract"/>
      </w:pPr>
      <w:r>
        <w:t xml:space="preserve">During the third year of this project, we conducted several laboratory tests and troubleshooting procedures. Unanticipated departures from PI Long’s lab in 2023 included an engineer, a WHOI JP student, a research assistant, and a postdoc that led to substantial delays and loss of knowledge for this project. In addition, increasing signal to noise ratios in the mass spectrometer output led to delays and troubleshooting that included a complete redesign of the electronics and its programming. We also redesigned and tested a new valve configuration to address issues during the 2022 deployment.</w:t>
      </w:r>
    </w:p>
    <w:p>
      <w:pPr>
        <w:pStyle w:val="Abstract"/>
      </w:pPr>
      <w:r>
        <w:t xml:space="preserve">In 2024, new personel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Our experiments tracked the evolution of a pulse-label of</w:t>
      </w:r>
      <w:r>
        <w:t xml:space="preserve"> </w:t>
      </w:r>
      <w:r>
        <w:rPr>
          <w:vertAlign w:val="superscript"/>
        </w:rPr>
        <w:t xml:space="preserve">15</w:t>
      </w:r>
      <w:r>
        <w:t xml:space="preserve">N labeled nitrate to labeled nitrogen gas, allowing us to compare denitrification rates abong eelgrass mesocosm treatments. This development may lead to direct, automated measurements of denitrification in the field during future GEMS deployments.</w:t>
      </w:r>
    </w:p>
    <w:p>
      <w:pPr>
        <w:pStyle w:val="Abstract"/>
      </w:pPr>
      <w:r>
        <w:t xml:space="preserve">The final deployment in the summer of 2025 was 4 months in duration and tested a new lander platform, improved control and data acquisition systems, a new pump and gradient valve system, a new telemetry data system and accompanying web dashboard, and a new data reduction pipeline to handle more data from longer deployments reproducibly.</w:t>
      </w:r>
    </w:p>
    <w:bookmarkStart w:id="26" w:name="gems-methods"/>
    <w:p>
      <w:pPr>
        <w:pStyle w:val="Heading1"/>
      </w:pPr>
      <w:r>
        <w:t xml:space="preserve">GEMS Methods</w:t>
      </w:r>
    </w:p>
    <w:bookmarkStart w:id="20"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1</w:t>
        </w:r>
      </w:hyperlink>
      <w:r>
        <w:t xml:space="preserve">) is constructed using commercial dock floatation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 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2</w:t>
        </w:r>
      </w:hyperlink>
      <w:r>
        <w:t xml:space="preserve">).</w:t>
      </w:r>
    </w:p>
    <w:p>
      <w:pPr>
        <w:pStyle w:val="BodyText"/>
      </w:pPr>
      <w:r>
        <w:t xml:space="preserve">The lander (</w:t>
      </w:r>
      <w:hyperlink w:anchor="fig-lander">
        <w:r>
          <w:rPr>
            <w:rStyle w:val="Hyperlink"/>
          </w:rPr>
          <w:t xml:space="preserve">Figure 3</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custom PLA frame and adaptor.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0"/>
    <w:bookmarkStart w:id="21"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4</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5</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analysed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2023.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1"/>
    <w:bookmarkStart w:id="25"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(u-star) term for gradient flux determination. CPSD and u-star 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2"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2"/>
    </w:p>
    <w:p>
      <w:pPr>
        <w:pStyle w:val="FirstParagraph"/>
      </w:pPr>
      <w:bookmarkStart w:id="23"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3"/>
    </w:p>
    <w:p>
      <w:pPr>
        <w:pStyle w:val="FirstParagraph"/>
      </w:pPr>
      <w:bookmarkStart w:id="24"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4"/>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5"/>
    <w:bookmarkEnd w:id="26"/>
    <w:bookmarkStart w:id="14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0" w:name="fig-barge"/>
          <w:p>
            <w:pPr>
              <w:pStyle w:val="Compact"/>
              <w:jc w:val="center"/>
            </w:pPr>
            <w:r>
              <w:drawing>
                <wp:inline>
                  <wp:extent cx="5889567" cy="4418214"/>
                  <wp:effectExtent b="0" l="0" r="0" t="0"/>
                  <wp:docPr descr="" title="" id="28" name="Picture"/>
                  <a:graphic>
                    <a:graphicData uri="http://schemas.openxmlformats.org/drawingml/2006/picture">
                      <pic:pic>
                        <pic:nvPicPr>
                          <pic:cNvPr descr="report_photos/gems_barge.jpg" id="29" name="Picture"/>
                          <pic:cNvPicPr>
                            <a:picLocks noChangeArrowheads="1" noChangeAspect="1"/>
                          </pic:cNvPicPr>
                        </pic:nvPicPr>
                        <pic:blipFill>
                          <a:blip r:embed="rId2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3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4" w:name="fig-status"/>
          <w:p>
            <w:pPr>
              <w:pStyle w:val="Compact"/>
              <w:jc w:val="center"/>
            </w:pPr>
            <w:r>
              <w:drawing>
                <wp:inline>
                  <wp:extent cx="5943600" cy="6298773"/>
                  <wp:effectExtent b="0" l="0" r="0" t="0"/>
                  <wp:docPr descr="" title="" id="32" name="Picture"/>
                  <a:graphic>
                    <a:graphicData uri="http://schemas.openxmlformats.org/drawingml/2006/picture">
                      <pic:pic>
                        <pic:nvPicPr>
                          <pic:cNvPr descr="report_photos/gems_status.png" id="33" name="Picture"/>
                          <pic:cNvPicPr>
                            <a:picLocks noChangeArrowheads="1" noChangeAspect="1"/>
                          </pic:cNvPicPr>
                        </pic:nvPicPr>
                        <pic:blipFill>
                          <a:blip r:embed="rId31"/>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3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8" w:name="fig-lander"/>
          <w:p>
            <w:pPr>
              <w:pStyle w:val="Compact"/>
              <w:jc w:val="center"/>
            </w:pPr>
            <w:r>
              <w:drawing>
                <wp:inline>
                  <wp:extent cx="4754880" cy="6294577"/>
                  <wp:effectExtent b="0" l="0" r="0" t="0"/>
                  <wp:docPr descr="" title="" id="36" name="Picture"/>
                  <a:graphic>
                    <a:graphicData uri="http://schemas.openxmlformats.org/drawingml/2006/picture">
                      <pic:pic>
                        <pic:nvPicPr>
                          <pic:cNvPr descr="report_photos/gems_lander.jpg" id="37" name="Picture"/>
                          <pic:cNvPicPr>
                            <a:picLocks noChangeArrowheads="1" noChangeAspect="1"/>
                          </pic:cNvPicPr>
                        </pic:nvPicPr>
                        <pic:blipFill>
                          <a:blip r:embed="rId35"/>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2" w:name="fig-deployment"/>
          <w:p>
            <w:pPr>
              <w:pStyle w:val="Compact"/>
              <w:jc w:val="center"/>
            </w:pPr>
            <w:r>
              <w:drawing>
                <wp:inline>
                  <wp:extent cx="5943600" cy="5191298"/>
                  <wp:effectExtent b="0" l="0" r="0" t="0"/>
                  <wp:docPr descr="" title="" id="40" name="Picture"/>
                  <a:graphic>
                    <a:graphicData uri="http://schemas.openxmlformats.org/drawingml/2006/picture">
                      <pic:pic>
                        <pic:nvPicPr>
                          <pic:cNvPr descr="report_photos/gems_deployment.jpg" id="41" name="Picture"/>
                          <pic:cNvPicPr>
                            <a:picLocks noChangeArrowheads="1" noChangeAspect="1"/>
                          </pic:cNvPicPr>
                        </pic:nvPicPr>
                        <pic:blipFill>
                          <a:blip r:embed="rId39"/>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4: The GEMS power, data and telemetry platform (top left) and GEMS lander (bottom right). A 10m cable providing 24V power and ethernet-based data runs between the platform and lander.</w:t>
            </w:r>
          </w:p>
          <w:bookmarkEnd w:id="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 w:name="fig-deployment-2025"/>
          <w:p>
            <w:pPr>
              <w:pStyle w:val="Compact"/>
              <w:jc w:val="center"/>
            </w:pPr>
            <w:r>
              <w:drawing>
                <wp:inline>
                  <wp:extent cx="5943600" cy="3528697"/>
                  <wp:effectExtent b="0" l="0" r="0" t="0"/>
                  <wp:docPr descr="" title="" id="44" name="Picture"/>
                  <a:graphic>
                    <a:graphicData uri="http://schemas.openxmlformats.org/drawingml/2006/picture">
                      <pic:pic>
                        <pic:nvPicPr>
                          <pic:cNvPr descr="report_photos/gems_deployment_2025.jpg" id="45" name="Picture"/>
                          <pic:cNvPicPr>
                            <a:picLocks noChangeArrowheads="1" noChangeAspect="1"/>
                          </pic:cNvPicPr>
                        </pic:nvPicPr>
                        <pic:blipFill>
                          <a:blip r:embed="rId43"/>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The GEMS platform during the 2025 deployment. Samuel Koeck (MIT/WHOI PhD student) is above the lander deployment location.</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 w:name="fig-label-setup"/>
          <w:p>
            <w:pPr>
              <w:pStyle w:val="Compact"/>
              <w:jc w:val="center"/>
            </w:pPr>
            <w:r>
              <w:drawing>
                <wp:inline>
                  <wp:extent cx="4160520" cy="6534352"/>
                  <wp:effectExtent b="0" l="0" r="0" t="0"/>
                  <wp:docPr descr="" title="" id="48" name="Picture"/>
                  <a:graphic>
                    <a:graphicData uri="http://schemas.openxmlformats.org/drawingml/2006/picture">
                      <pic:pic>
                        <pic:nvPicPr>
                          <pic:cNvPr descr="report_photos/gems_dn_chamber.png" id="49" name="Picture"/>
                          <pic:cNvPicPr>
                            <a:picLocks noChangeArrowheads="1" noChangeAspect="1"/>
                          </pic:cNvPicPr>
                        </pic:nvPicPr>
                        <pic:blipFill>
                          <a:blip r:embed="rId47"/>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set up for measurment of denitrification in eelgrass (</w:t>
            </w:r>
            <w:r>
              <w:rPr>
                <w:i/>
                <w:iCs/>
              </w:rPr>
              <w:t xml:space="preserve">Zostera marina</w:t>
            </w:r>
            <w:r>
              <w:t xml:space="preserve">)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5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4" w:name="fig-label-evolution"/>
          <w:p>
            <w:pPr>
              <w:pStyle w:val="Compact"/>
              <w:jc w:val="center"/>
            </w:pPr>
            <w:r>
              <w:drawing>
                <wp:inline>
                  <wp:extent cx="5943600" cy="3669937"/>
                  <wp:effectExtent b="0" l="0" r="0" t="0"/>
                  <wp:docPr descr="" title="" id="52" name="Picture"/>
                  <a:graphic>
                    <a:graphicData uri="http://schemas.openxmlformats.org/drawingml/2006/picture">
                      <pic:pic>
                        <pic:nvPicPr>
                          <pic:cNvPr descr="report_photos/n15_label_evolution.png" id="53" name="Picture"/>
                          <pic:cNvPicPr>
                            <a:picLocks noChangeArrowheads="1" noChangeAspect="1"/>
                          </pic:cNvPicPr>
                        </pic:nvPicPr>
                        <pic:blipFill>
                          <a:blip r:embed="rId51"/>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7: Evolution through time of single- and doubly-labelled nitrogen and argon tracers during a denitrification experiment in an eelgrass mesocosm.</w:t>
            </w:r>
          </w:p>
          <w:bookmarkEnd w:id="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fig-dn-rates"/>
          <w:p>
            <w:pPr>
              <w:pStyle w:val="Compact"/>
              <w:jc w:val="center"/>
            </w:pPr>
            <w:r>
              <w:drawing>
                <wp:inline>
                  <wp:extent cx="5943600" cy="3669937"/>
                  <wp:effectExtent b="0" l="0" r="0" t="0"/>
                  <wp:docPr descr="" title="" id="56" name="Picture"/>
                  <a:graphic>
                    <a:graphicData uri="http://schemas.openxmlformats.org/drawingml/2006/picture">
                      <pic:pic>
                        <pic:nvPicPr>
                          <pic:cNvPr descr="report_photos/crate_dn_comparison.png" id="57" name="Picture"/>
                          <pic:cNvPicPr>
                            <a:picLocks noChangeArrowheads="1" noChangeAspect="1"/>
                          </pic:cNvPicPr>
                        </pic:nvPicPr>
                        <pic:blipFill>
                          <a:blip r:embed="rId55"/>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8: Denitrification rates for three replicates of 4 experimental treatments at different timepoints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2" w:name="fig-2021-gradients"/>
          <w:p>
            <w:pPr>
              <w:pStyle w:val="Compact"/>
              <w:jc w:val="center"/>
            </w:pPr>
            <w:r>
              <w:drawing>
                <wp:inline>
                  <wp:extent cx="5943600" cy="3901626"/>
                  <wp:effectExtent b="0" l="0" r="0" t="0"/>
                  <wp:docPr descr="" title="" id="60" name="Picture"/>
                  <a:graphic>
                    <a:graphicData uri="http://schemas.openxmlformats.org/drawingml/2006/picture">
                      <pic:pic>
                        <pic:nvPicPr>
                          <pic:cNvPr descr="report_photos/gradients_2021.png" id="61" name="Picture"/>
                          <pic:cNvPicPr>
                            <a:picLocks noChangeArrowheads="1" noChangeAspect="1"/>
                          </pic:cNvPicPr>
                        </pic:nvPicPr>
                        <pic:blipFill>
                          <a:blip r:embed="rId59"/>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belive this indicates mass interference with oxygen in the QMS.</w:t>
            </w:r>
          </w:p>
          <w:bookmarkEnd w:id="62"/>
        </w:tc>
      </w:tr>
    </w:tbl>
    <w:p>
      <w:r>
        <w:br w:type="page"/>
      </w:r>
    </w:p>
    <w:tbl>
      <w:tblPr>
        <w:tblStyle w:val="Table"/>
        <w:tblW w:type="pct" w:w="5000"/>
        <w:tblLayout w:type="fixed"/>
        <w:tblLook w:firstRow="0" w:lastRow="0" w:firstColumn="0" w:lastColumn="0" w:noHBand="0" w:noVBand="0" w:val="0000"/>
      </w:tblPr>
      <w:tblGrid>
        <w:gridCol w:w="7920"/>
      </w:tblGrid>
      <w:tr>
        <w:tc>
          <w:tcPr/>
          <w:bookmarkStart w:id="66" w:name="fig-mass-trace"/>
          <w:p>
            <w:pPr>
              <w:pStyle w:val="Compact"/>
              <w:jc w:val="center"/>
            </w:pPr>
            <w:r>
              <w:drawing>
                <wp:inline>
                  <wp:extent cx="5943600" cy="6537960"/>
                  <wp:effectExtent b="0" l="0" r="0" t="0"/>
                  <wp:docPr descr="" title="" id="64" name="Picture"/>
                  <a:graphic>
                    <a:graphicData uri="http://schemas.openxmlformats.org/drawingml/2006/picture">
                      <pic:pic>
                        <pic:nvPicPr>
                          <pic:cNvPr descr="gems_final_nsf_report_files/figure-docx/fig-mass-trace-1.png" id="65" name="Picture"/>
                          <pic:cNvPicPr>
                            <a:picLocks noChangeArrowheads="1" noChangeAspect="1"/>
                          </pic:cNvPicPr>
                        </pic:nvPicPr>
                        <pic:blipFill>
                          <a:blip r:embed="rId6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66"/>
        </w:tc>
      </w:tr>
    </w:tbl>
    <w:p>
      <w:r>
        <w:br w:type="page"/>
      </w:r>
    </w:p>
    <w:tbl>
      <w:tblPr>
        <w:tblStyle w:val="Table"/>
        <w:tblW w:type="pct" w:w="5000"/>
        <w:tblLayout w:type="fixed"/>
        <w:tblLook w:firstRow="0" w:lastRow="0" w:firstColumn="0" w:lastColumn="0" w:noHBand="0" w:noVBand="0" w:val="0000"/>
      </w:tblPr>
      <w:tblGrid>
        <w:gridCol w:w="7920"/>
      </w:tblGrid>
      <w:tr>
        <w:tc>
          <w:tcPr/>
          <w:bookmarkStart w:id="70" w:name="fig-noise-comparison"/>
          <w:p>
            <w:pPr>
              <w:pStyle w:val="Compact"/>
              <w:jc w:val="center"/>
            </w:pPr>
            <w:r>
              <w:drawing>
                <wp:inline>
                  <wp:extent cx="5943600" cy="4754880"/>
                  <wp:effectExtent b="0" l="0" r="0" t="0"/>
                  <wp:docPr descr="" title="" id="68" name="Picture"/>
                  <a:graphic>
                    <a:graphicData uri="http://schemas.openxmlformats.org/drawingml/2006/picture">
                      <pic:pic>
                        <pic:nvPicPr>
                          <pic:cNvPr descr="gems_final_nsf_report_files/figure-docx/fig-noise-comparison-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argon-norm"/>
          <w:p>
            <w:pPr>
              <w:pStyle w:val="Compact"/>
              <w:jc w:val="center"/>
            </w:pPr>
            <w:r>
              <w:drawing>
                <wp:inline>
                  <wp:extent cx="5943600" cy="4754880"/>
                  <wp:effectExtent b="0" l="0" r="0" t="0"/>
                  <wp:docPr descr="" title="" id="72" name="Picture"/>
                  <a:graphic>
                    <a:graphicData uri="http://schemas.openxmlformats.org/drawingml/2006/picture">
                      <pic:pic>
                        <pic:nvPicPr>
                          <pic:cNvPr descr="gems_final_nsf_report_files/figure-docx/fig-argon-norm-1.png" id="73" name="Picture"/>
                          <pic:cNvPicPr>
                            <a:picLocks noChangeArrowheads="1" noChangeAspect="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74"/>
        </w:tc>
      </w:tr>
    </w:tbl>
    <w:p>
      <w:r>
        <w:br w:type="page"/>
      </w:r>
    </w:p>
    <w:tbl>
      <w:tblPr>
        <w:tblStyle w:val="Table"/>
        <w:tblW w:type="pct" w:w="5000"/>
        <w:tblLayout w:type="fixed"/>
        <w:tblLook w:firstRow="0" w:lastRow="0" w:firstColumn="0" w:lastColumn="0" w:noHBand="0" w:noVBand="0" w:val="0000"/>
      </w:tblPr>
      <w:tblGrid>
        <w:gridCol w:w="7920"/>
      </w:tblGrid>
      <w:tr>
        <w:tc>
          <w:tcPr/>
          <w:bookmarkStart w:id="78" w:name="fig-oxygen-long"/>
          <w:p>
            <w:pPr>
              <w:pStyle w:val="Compact"/>
              <w:jc w:val="center"/>
            </w:pPr>
            <w:r>
              <w:drawing>
                <wp:inline>
                  <wp:extent cx="5943600" cy="4754880"/>
                  <wp:effectExtent b="0" l="0" r="0" t="0"/>
                  <wp:docPr descr="" title="" id="76" name="Picture"/>
                  <a:graphic>
                    <a:graphicData uri="http://schemas.openxmlformats.org/drawingml/2006/picture">
                      <pic:pic>
                        <pic:nvPicPr>
                          <pic:cNvPr descr="gems_final_nsf_report_files/figure-docx/fig-oxygen-long-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oxygen-short"/>
          <w:p>
            <w:pPr>
              <w:pStyle w:val="Compact"/>
              <w:jc w:val="center"/>
            </w:pPr>
            <w:r>
              <w:drawing>
                <wp:inline>
                  <wp:extent cx="5943600" cy="4754880"/>
                  <wp:effectExtent b="0" l="0" r="0" t="0"/>
                  <wp:docPr descr="" title="" id="80" name="Picture"/>
                  <a:graphic>
                    <a:graphicData uri="http://schemas.openxmlformats.org/drawingml/2006/picture">
                      <pic:pic>
                        <pic:nvPicPr>
                          <pic:cNvPr descr="gems_final_nsf_report_files/figure-docx/fig-oxygen-short-1.png" id="81" name="Picture"/>
                          <pic:cNvPicPr>
                            <a:picLocks noChangeArrowheads="1" noChangeAspect="1"/>
                          </pic:cNvPicPr>
                        </pic:nvPicPr>
                        <pic:blipFill>
                          <a:blip r:embed="rId7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2"/>
        </w:tc>
      </w:tr>
    </w:tbl>
    <w:p>
      <w:r>
        <w:br w:type="page"/>
      </w:r>
    </w:p>
    <w:tbl>
      <w:tblPr>
        <w:tblStyle w:val="Table"/>
        <w:tblW w:type="pct" w:w="5000"/>
        <w:tblLayout w:type="fixed"/>
        <w:tblLook w:firstRow="0" w:lastRow="0" w:firstColumn="0" w:lastColumn="0" w:noHBand="0" w:noVBand="0" w:val="0000"/>
      </w:tblPr>
      <w:tblGrid>
        <w:gridCol w:w="7920"/>
      </w:tblGrid>
      <w:tr>
        <w:tc>
          <w:tcPr/>
          <w:bookmarkStart w:id="86" w:name="fig-cal"/>
          <w:p>
            <w:pPr>
              <w:pStyle w:val="Compact"/>
              <w:jc w:val="center"/>
            </w:pPr>
            <w:r>
              <w:drawing>
                <wp:inline>
                  <wp:extent cx="5943600" cy="4754880"/>
                  <wp:effectExtent b="0" l="0" r="0" t="0"/>
                  <wp:docPr descr="" title="" id="84" name="Picture"/>
                  <a:graphic>
                    <a:graphicData uri="http://schemas.openxmlformats.org/drawingml/2006/picture">
                      <pic:pic>
                        <pic:nvPicPr>
                          <pic:cNvPr descr="gems_final_nsf_report_files/figure-docx/fig-cal-1.png" id="85" name="Picture"/>
                          <pic:cNvPicPr>
                            <a:picLocks noChangeArrowheads="1" noChangeAspect="1"/>
                          </pic:cNvPicPr>
                        </pic:nvPicPr>
                        <pic:blipFill>
                          <a:blip r:embed="rId8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86"/>
        </w:tc>
      </w:tr>
    </w:tbl>
    <w:p>
      <w:r>
        <w:br w:type="page"/>
      </w:r>
    </w:p>
    <w:tbl>
      <w:tblPr>
        <w:tblStyle w:val="Table"/>
        <w:tblW w:type="pct" w:w="5000"/>
        <w:tblLayout w:type="fixed"/>
        <w:tblLook w:firstRow="0" w:lastRow="0" w:firstColumn="0" w:lastColumn="0" w:noHBand="0" w:noVBand="0" w:val="0000"/>
      </w:tblPr>
      <w:tblGrid>
        <w:gridCol w:w="7920"/>
      </w:tblGrid>
      <w:tr>
        <w:tc>
          <w:tcPr/>
          <w:bookmarkStart w:id="90" w:name="fig-cal-timeseries"/>
          <w:p>
            <w:pPr>
              <w:pStyle w:val="Compact"/>
              <w:jc w:val="center"/>
            </w:pPr>
            <w:r>
              <w:drawing>
                <wp:inline>
                  <wp:extent cx="5943600" cy="4754880"/>
                  <wp:effectExtent b="0" l="0" r="0" t="0"/>
                  <wp:docPr descr="" title="" id="88" name="Picture"/>
                  <a:graphic>
                    <a:graphicData uri="http://schemas.openxmlformats.org/drawingml/2006/picture">
                      <pic:pic>
                        <pic:nvPicPr>
                          <pic:cNvPr descr="gems_final_nsf_report_files/figure-docx/fig-cal-timeseries-1.png" id="89" name="Picture"/>
                          <pic:cNvPicPr>
                            <a:picLocks noChangeArrowheads="1" noChangeAspect="1"/>
                          </pic:cNvPicPr>
                        </pic:nvPicPr>
                        <pic:blipFill>
                          <a:blip r:embed="rId8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0"/>
        </w:tc>
      </w:tr>
    </w:tbl>
    <w:p>
      <w:r>
        <w:br w:type="page"/>
      </w:r>
    </w:p>
    <w:tbl>
      <w:tblPr>
        <w:tblStyle w:val="Table"/>
        <w:tblW w:type="pct" w:w="5000"/>
        <w:tblLayout w:type="fixed"/>
        <w:tblLook w:firstRow="0" w:lastRow="0" w:firstColumn="0" w:lastColumn="0" w:noHBand="0" w:noVBand="0" w:val="0000"/>
      </w:tblPr>
      <w:tblGrid>
        <w:gridCol w:w="7920"/>
      </w:tblGrid>
      <w:tr>
        <w:tc>
          <w:tcPr/>
          <w:bookmarkStart w:id="94" w:name="fig-flux-timeseries"/>
          <w:p>
            <w:pPr>
              <w:pStyle w:val="Compact"/>
              <w:jc w:val="center"/>
            </w:pPr>
            <w:r>
              <w:drawing>
                <wp:inline>
                  <wp:extent cx="5943600" cy="6537960"/>
                  <wp:effectExtent b="0" l="0" r="0" t="0"/>
                  <wp:docPr descr="" title="" id="92" name="Picture"/>
                  <a:graphic>
                    <a:graphicData uri="http://schemas.openxmlformats.org/drawingml/2006/picture">
                      <pic:pic>
                        <pic:nvPicPr>
                          <pic:cNvPr descr="gems_final_nsf_report_files/figure-docx/fig-flux-timeseries-1.png" id="93" name="Picture"/>
                          <pic:cNvPicPr>
                            <a:picLocks noChangeArrowheads="1" noChangeAspect="1"/>
                          </pic:cNvPicPr>
                        </pic:nvPicPr>
                        <pic:blipFill>
                          <a:blip r:embed="rId91"/>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flux-zoom"/>
          <w:p>
            <w:pPr>
              <w:pStyle w:val="Compact"/>
              <w:jc w:val="center"/>
            </w:pPr>
            <w:r>
              <w:drawing>
                <wp:inline>
                  <wp:extent cx="5943600" cy="4754880"/>
                  <wp:effectExtent b="0" l="0" r="0" t="0"/>
                  <wp:docPr descr="" title="" id="96" name="Picture"/>
                  <a:graphic>
                    <a:graphicData uri="http://schemas.openxmlformats.org/drawingml/2006/picture">
                      <pic:pic>
                        <pic:nvPicPr>
                          <pic:cNvPr descr="gems_final_nsf_report_files/figure-docx/fig-flux-zoom-1.png" id="97" name="Picture"/>
                          <pic:cNvPicPr>
                            <a:picLocks noChangeArrowheads="1" noChangeAspect="1"/>
                          </pic:cNvPicPr>
                        </pic:nvPicPr>
                        <pic:blipFill>
                          <a:blip r:embed="rId9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98"/>
        </w:tc>
      </w:tr>
    </w:tbl>
    <w:p>
      <w:r>
        <w:br w:type="page"/>
      </w:r>
    </w:p>
    <w:tbl>
      <w:tblPr>
        <w:tblStyle w:val="Table"/>
        <w:tblW w:type="pct" w:w="5000"/>
        <w:tblLayout w:type="fixed"/>
        <w:tblLook w:firstRow="0" w:lastRow="0" w:firstColumn="0" w:lastColumn="0" w:noHBand="0" w:noVBand="0" w:val="0000"/>
      </w:tblPr>
      <w:tblGrid>
        <w:gridCol w:w="7920"/>
      </w:tblGrid>
      <w:tr>
        <w:tc>
          <w:tcPr/>
          <w:bookmarkStart w:id="102" w:name="fig-gradient-diel"/>
          <w:p>
            <w:pPr>
              <w:pStyle w:val="Compact"/>
              <w:jc w:val="center"/>
            </w:pPr>
            <w:r>
              <w:drawing>
                <wp:inline>
                  <wp:extent cx="5943600" cy="5943600"/>
                  <wp:effectExtent b="0" l="0" r="0" t="0"/>
                  <wp:docPr descr="" title="" id="100" name="Picture"/>
                  <a:graphic>
                    <a:graphicData uri="http://schemas.openxmlformats.org/drawingml/2006/picture">
                      <pic:pic>
                        <pic:nvPicPr>
                          <pic:cNvPr descr="gems_final_nsf_report_files/figure-docx/fig-gradient-diel-1.png" id="101"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2"/>
        </w:tc>
      </w:tr>
    </w:tbl>
    <w:p>
      <w:r>
        <w:br w:type="page"/>
      </w:r>
    </w:p>
    <w:tbl>
      <w:tblPr>
        <w:tblStyle w:val="Table"/>
        <w:tblW w:type="pct" w:w="5000"/>
        <w:tblLayout w:type="fixed"/>
        <w:tblLook w:firstRow="0" w:lastRow="0" w:firstColumn="0" w:lastColumn="0" w:noHBand="0" w:noVBand="0" w:val="0000"/>
      </w:tblPr>
      <w:tblGrid>
        <w:gridCol w:w="7920"/>
      </w:tblGrid>
      <w:tr>
        <w:tc>
          <w:tcPr/>
          <w:bookmarkStart w:id="106" w:name="fig-flux-diel"/>
          <w:p>
            <w:pPr>
              <w:pStyle w:val="Compact"/>
              <w:jc w:val="center"/>
            </w:pPr>
            <w:r>
              <w:drawing>
                <wp:inline>
                  <wp:extent cx="5943600" cy="5943600"/>
                  <wp:effectExtent b="0" l="0" r="0" t="0"/>
                  <wp:docPr descr="" title="" id="104" name="Picture"/>
                  <a:graphic>
                    <a:graphicData uri="http://schemas.openxmlformats.org/drawingml/2006/picture">
                      <pic:pic>
                        <pic:nvPicPr>
                          <pic:cNvPr descr="gems_final_nsf_report_files/figure-docx/fig-flux-diel-1.png" id="105"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06"/>
        </w:tc>
      </w:tr>
    </w:tbl>
    <w:tbl>
      <w:tblPr>
        <w:tblStyle w:val="Table"/>
        <w:tblW w:type="pct" w:w="5000"/>
        <w:tblLayout w:type="fixed"/>
        <w:tblLook w:firstRow="0" w:lastRow="0" w:firstColumn="0" w:lastColumn="0" w:noHBand="0" w:noVBand="0" w:val="0000"/>
      </w:tblPr>
      <w:tblGrid>
        <w:gridCol w:w="7920"/>
      </w:tblGrid>
      <w:tr>
        <w:tc>
          <w:tcPr/>
          <w:bookmarkStart w:id="110" w:name="fig-co2-diel"/>
          <w:p>
            <w:pPr>
              <w:pStyle w:val="Compact"/>
              <w:jc w:val="center"/>
            </w:pPr>
            <w:r>
              <w:drawing>
                <wp:inline>
                  <wp:extent cx="5943600" cy="6537960"/>
                  <wp:effectExtent b="0" l="0" r="0" t="0"/>
                  <wp:docPr descr="" title="" id="108" name="Picture"/>
                  <a:graphic>
                    <a:graphicData uri="http://schemas.openxmlformats.org/drawingml/2006/picture">
                      <pic:pic>
                        <pic:nvPicPr>
                          <pic:cNvPr descr="gems_final_nsf_report_files/figure-docx/fig-co2-diel-1.png" id="109" name="Picture"/>
                          <pic:cNvPicPr>
                            <a:picLocks noChangeArrowheads="1" noChangeAspect="1"/>
                          </pic:cNvPicPr>
                        </pic:nvPicPr>
                        <pic:blipFill>
                          <a:blip r:embed="rId10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0"/>
        </w:tc>
      </w:tr>
    </w:tbl>
    <w:tbl>
      <w:tblPr>
        <w:tblStyle w:val="Table"/>
        <w:tblW w:type="pct" w:w="5000"/>
        <w:tblLayout w:type="fixed"/>
        <w:tblLook w:firstRow="0" w:lastRow="0" w:firstColumn="0" w:lastColumn="0" w:noHBand="0" w:noVBand="0" w:val="0000"/>
      </w:tblPr>
      <w:tblGrid>
        <w:gridCol w:w="7920"/>
      </w:tblGrid>
      <w:tr>
        <w:tc>
          <w:tcPr/>
          <w:bookmarkStart w:id="114" w:name="fig-co2-vs-o2"/>
          <w:p>
            <w:pPr>
              <w:pStyle w:val="Compact"/>
              <w:jc w:val="center"/>
            </w:pPr>
            <w:r>
              <w:drawing>
                <wp:inline>
                  <wp:extent cx="5943600" cy="3566160"/>
                  <wp:effectExtent b="0" l="0" r="0" t="0"/>
                  <wp:docPr descr="" title="" id="112" name="Picture"/>
                  <a:graphic>
                    <a:graphicData uri="http://schemas.openxmlformats.org/drawingml/2006/picture">
                      <pic:pic>
                        <pic:nvPicPr>
                          <pic:cNvPr descr="gems_final_nsf_report_files/figure-docx/fig-co2-vs-o2-1.png" id="113" name="Picture"/>
                          <pic:cNvPicPr>
                            <a:picLocks noChangeArrowheads="1" noChangeAspect="1"/>
                          </pic:cNvPicPr>
                        </pic:nvPicPr>
                        <pic:blipFill>
                          <a:blip r:embed="rId11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14"/>
        </w:tc>
      </w:tr>
    </w:tbl>
    <w:tbl>
      <w:tblPr>
        <w:tblStyle w:val="Table"/>
        <w:tblW w:type="pct" w:w="5000"/>
        <w:tblLayout w:type="fixed"/>
        <w:tblLook w:firstRow="0" w:lastRow="0" w:firstColumn="0" w:lastColumn="0" w:noHBand="0" w:noVBand="0" w:val="0000"/>
      </w:tblPr>
      <w:tblGrid>
        <w:gridCol w:w="7920"/>
      </w:tblGrid>
      <w:tr>
        <w:tc>
          <w:tcPr/>
          <w:bookmarkStart w:id="118" w:name="fig-flux-diel-monthly"/>
          <w:p>
            <w:pPr>
              <w:pStyle w:val="Compact"/>
              <w:jc w:val="center"/>
            </w:pPr>
            <w:r>
              <w:drawing>
                <wp:inline>
                  <wp:extent cx="5943600" cy="5943600"/>
                  <wp:effectExtent b="0" l="0" r="0" t="0"/>
                  <wp:docPr descr="" title="" id="116" name="Picture"/>
                  <a:graphic>
                    <a:graphicData uri="http://schemas.openxmlformats.org/drawingml/2006/picture">
                      <pic:pic>
                        <pic:nvPicPr>
                          <pic:cNvPr descr="gems_final_nsf_report_files/figure-docx/fig-flux-diel-monthly-1.png" id="117" name="Picture"/>
                          <pic:cNvPicPr>
                            <a:picLocks noChangeArrowheads="1" noChangeAspect="1"/>
                          </pic:cNvPicPr>
                        </pic:nvPicPr>
                        <pic:blipFill>
                          <a:blip r:embed="rId11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fig-flux-nem-hourly"/>
          <w:p>
            <w:pPr>
              <w:pStyle w:val="Compact"/>
              <w:jc w:val="center"/>
            </w:pPr>
            <w:r>
              <w:drawing>
                <wp:inline>
                  <wp:extent cx="5943600" cy="3268980"/>
                  <wp:effectExtent b="0" l="0" r="0" t="0"/>
                  <wp:docPr descr="" title="" id="120" name="Picture"/>
                  <a:graphic>
                    <a:graphicData uri="http://schemas.openxmlformats.org/drawingml/2006/picture">
                      <pic:pic>
                        <pic:nvPicPr>
                          <pic:cNvPr descr="gems_final_nsf_report_files/figure-docx/fig-flux-nem-hourly-1.png" id="121" name="Picture"/>
                          <pic:cNvPicPr>
                            <a:picLocks noChangeArrowheads="1" noChangeAspect="1"/>
                          </pic:cNvPicPr>
                        </pic:nvPicPr>
                        <pic:blipFill>
                          <a:blip r:embed="rId119"/>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month for the deployment period to provide an estimate of net ecosystem metabolism (NEM). The benthic system at Naushon Island is close to net neutral over time.</w:t>
            </w:r>
          </w:p>
          <w:bookmarkEnd w:id="122"/>
        </w:tc>
      </w:tr>
    </w:tbl>
    <w:tbl>
      <w:tblPr>
        <w:tblStyle w:val="Table"/>
        <w:tblW w:type="pct" w:w="5000"/>
        <w:tblLayout w:type="fixed"/>
        <w:tblLook w:firstRow="0" w:lastRow="0" w:firstColumn="0" w:lastColumn="0" w:noHBand="0" w:noVBand="0" w:val="0000"/>
      </w:tblPr>
      <w:tblGrid>
        <w:gridCol w:w="7920"/>
      </w:tblGrid>
      <w:tr>
        <w:tc>
          <w:tcPr/>
          <w:bookmarkStart w:id="126" w:name="fig-flux-nem-monthly"/>
          <w:p>
            <w:pPr>
              <w:pStyle w:val="Compact"/>
              <w:jc w:val="center"/>
            </w:pPr>
            <w:r>
              <w:drawing>
                <wp:inline>
                  <wp:extent cx="5943600" cy="3268980"/>
                  <wp:effectExtent b="0" l="0" r="0" t="0"/>
                  <wp:docPr descr="" title="" id="124" name="Picture"/>
                  <a:graphic>
                    <a:graphicData uri="http://schemas.openxmlformats.org/drawingml/2006/picture">
                      <pic:pic>
                        <pic:nvPicPr>
                          <pic:cNvPr descr="gems_final_nsf_report_files/figure-docx/fig-flux-nem-monthly-1.png" id="125" name="Picture"/>
                          <pic:cNvPicPr>
                            <a:picLocks noChangeArrowheads="1" noChangeAspect="1"/>
                          </pic:cNvPicPr>
                        </pic:nvPicPr>
                        <pic:blipFill>
                          <a:blip r:embed="rId123"/>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Daily-integrated NEM for the deployment period. Daily NEM is variable, but is close to net-neutral over time.</w:t>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fig-eelgrass"/>
          <w:p>
            <w:pPr>
              <w:pStyle w:val="Compact"/>
              <w:jc w:val="center"/>
            </w:pPr>
            <w:r>
              <w:drawing>
                <wp:inline>
                  <wp:extent cx="5943600" cy="7132320"/>
                  <wp:effectExtent b="0" l="0" r="0" t="0"/>
                  <wp:docPr descr="" title="" id="128" name="Picture"/>
                  <a:graphic>
                    <a:graphicData uri="http://schemas.openxmlformats.org/drawingml/2006/picture">
                      <pic:pic>
                        <pic:nvPicPr>
                          <pic:cNvPr descr="gems_final_nsf_report_files/figure-docx/fig-eelgrass-1.png" id="129" name="Picture"/>
                          <pic:cNvPicPr>
                            <a:picLocks noChangeArrowheads="1" noChangeAspect="1"/>
                          </pic:cNvPicPr>
                        </pic:nvPicPr>
                        <pic:blipFill>
                          <a:blip r:embed="rId127"/>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26: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0"/>
        </w:tc>
      </w:tr>
    </w:tbl>
    <w:bookmarkStart w:id="145" w:name="refs"/>
    <w:bookmarkStart w:id="132"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1">
        <w:r>
          <w:rPr>
            <w:rStyle w:val="Hyperlink"/>
          </w:rPr>
          <w:t xml:space="preserve">https://doi.org/10.4319/lo.1969.14.3.0454</w:t>
        </w:r>
      </w:hyperlink>
      <w:r>
        <w:t xml:space="preserve">.</w:t>
      </w:r>
    </w:p>
    <w:bookmarkEnd w:id="132"/>
    <w:bookmarkStart w:id="134"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3">
        <w:r>
          <w:rPr>
            <w:rStyle w:val="Hyperlink"/>
          </w:rPr>
          <w:t xml:space="preserve">https://doi.org/10.1002/lom3.10482</w:t>
        </w:r>
      </w:hyperlink>
      <w:r>
        <w:t xml:space="preserve">.</w:t>
      </w:r>
    </w:p>
    <w:bookmarkEnd w:id="134"/>
    <w:bookmarkStart w:id="136"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5">
        <w:r>
          <w:rPr>
            <w:rStyle w:val="Hyperlink"/>
          </w:rPr>
          <w:t xml:space="preserve">https://doi.org/10.1029/2020JC016637</w:t>
        </w:r>
      </w:hyperlink>
      <w:r>
        <w:t xml:space="preserve">.</w:t>
      </w:r>
    </w:p>
    <w:bookmarkEnd w:id="136"/>
    <w:bookmarkStart w:id="138"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7">
        <w:r>
          <w:rPr>
            <w:rStyle w:val="Hyperlink"/>
          </w:rPr>
          <w:t xml:space="preserve">https://doi.org/10.1029/2010GL046179</w:t>
        </w:r>
      </w:hyperlink>
      <w:r>
        <w:t xml:space="preserve">.</w:t>
      </w:r>
    </w:p>
    <w:bookmarkEnd w:id="138"/>
    <w:bookmarkStart w:id="140"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39">
        <w:r>
          <w:rPr>
            <w:rStyle w:val="Hyperlink"/>
          </w:rPr>
          <w:t xml:space="preserve">https://doi.org/10.1002/2016JC011886</w:t>
        </w:r>
      </w:hyperlink>
      <w:r>
        <w:t xml:space="preserve">.</w:t>
      </w:r>
    </w:p>
    <w:bookmarkEnd w:id="140"/>
    <w:bookmarkStart w:id="142"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1">
        <w:r>
          <w:rPr>
            <w:rStyle w:val="Hyperlink"/>
          </w:rPr>
          <w:t xml:space="preserve">https://doi.org/10.1038/ngeo1183</w:t>
        </w:r>
      </w:hyperlink>
      <w:r>
        <w:t xml:space="preserve">.</w:t>
      </w:r>
    </w:p>
    <w:bookmarkEnd w:id="142"/>
    <w:bookmarkStart w:id="144"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3">
        <w:r>
          <w:rPr>
            <w:rStyle w:val="Hyperlink"/>
          </w:rPr>
          <w:t xml:space="preserve">https://doi.org/10.1016/j.dsr2.2010.05.009</w:t>
        </w:r>
      </w:hyperlink>
      <w:r>
        <w:t xml:space="preserve">.</w:t>
      </w:r>
    </w:p>
    <w:bookmarkEnd w:id="144"/>
    <w:bookmarkEnd w:id="145"/>
    <w:bookmarkEnd w:id="146"/>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35356857"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55" Target="media/rId55.png" /><Relationship Type="http://schemas.openxmlformats.org/officeDocument/2006/relationships/image" Id="rId27" Target="media/rId27.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31" Target="media/rId31.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hyperlink" Id="rId139" Target="https://doi.org/10.1002/2016JC011886" TargetMode="External" /><Relationship Type="http://schemas.openxmlformats.org/officeDocument/2006/relationships/hyperlink" Id="rId133" Target="https://doi.org/10.1002/lom3.10482" TargetMode="External" /><Relationship Type="http://schemas.openxmlformats.org/officeDocument/2006/relationships/hyperlink" Id="rId143" Target="https://doi.org/10.1016/j.dsr2.2010.05.009" TargetMode="External" /><Relationship Type="http://schemas.openxmlformats.org/officeDocument/2006/relationships/hyperlink" Id="rId137" Target="https://doi.org/10.1029/2010GL046179" TargetMode="External" /><Relationship Type="http://schemas.openxmlformats.org/officeDocument/2006/relationships/hyperlink" Id="rId135" Target="https://doi.org/10.1029/2020JC016637" TargetMode="External" /><Relationship Type="http://schemas.openxmlformats.org/officeDocument/2006/relationships/hyperlink" Id="rId141" Target="https://doi.org/10.1038/ngeo1183" TargetMode="External" /><Relationship Type="http://schemas.openxmlformats.org/officeDocument/2006/relationships/hyperlink" Id="rId131"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39" Target="https://doi.org/10.1002/2016JC011886" TargetMode="External" /><Relationship Type="http://schemas.openxmlformats.org/officeDocument/2006/relationships/hyperlink" Id="rId133" Target="https://doi.org/10.1002/lom3.10482" TargetMode="External" /><Relationship Type="http://schemas.openxmlformats.org/officeDocument/2006/relationships/hyperlink" Id="rId143" Target="https://doi.org/10.1016/j.dsr2.2010.05.009" TargetMode="External" /><Relationship Type="http://schemas.openxmlformats.org/officeDocument/2006/relationships/hyperlink" Id="rId137" Target="https://doi.org/10.1029/2010GL046179" TargetMode="External" /><Relationship Type="http://schemas.openxmlformats.org/officeDocument/2006/relationships/hyperlink" Id="rId135" Target="https://doi.org/10.1029/2020JC016637" TargetMode="External" /><Relationship Type="http://schemas.openxmlformats.org/officeDocument/2006/relationships/hyperlink" Id="rId141" Target="https://doi.org/10.1038/ngeo1183" TargetMode="External" /><Relationship Type="http://schemas.openxmlformats.org/officeDocument/2006/relationships/hyperlink" Id="rId131"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GEMS NSF Final Report Plots</dc:title>
  <dc:creator>Matthew Long; Adam Subhas; Scott Wankel</dc:creator>
  <cp:keywords/>
  <dcterms:created xsi:type="dcterms:W3CDTF">2026-02-11T21:01:06Z</dcterms:created>
  <dcterms:modified xsi:type="dcterms:W3CDTF">2026-02-11T21:01:06Z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images and data below are examples of the instruments developed and the resulting data under this project. During the first year of this project, we conducted several laboratory and field test as outlined in our proposal. Significant developments included the testing of response time and power-saving strategies, development of the GEMS underwater mass spectrometer and pumping systems and an initial short field deployment, resulting in initial gradient flux estimates.Developments in 2022 included a long-term deployment of the GEMS system including a solar and wind-powered surface platform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data.During the third year of this project, we conducted several laboratory tests and troubleshooting procedures. Unanticipated departures from PI Long’s lab in 2023 included an engineer, a WHOI JP student, a research assistant, and a postdoc that led to substantial delays and loss of knowledge for this project. In addition, increasing signal to noise ratios in the mass spectrometer output led to delays and troubleshooting that included a complete redesign of the electronics and its programming. We also redesigned and tested a new valve configuration to address issues during the 2022 deployment.In 2024, new personel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Our experiments tracked the evolution of a pulse-label of 15N labeled nitrate to labeled nitrogen gas, allowing us to compare denitrification rates abong eelgrass mesocosm treatments. This development may lead to direct, automated measurements of denitrification in the field during future GEMS deployments.The final deployment in the summer of 2025 was 4 months in duration and tested a new lander platform, improved control and data acquisition systems, a new pump and gradient valve system, a new telemetry data system and accompanying web dashboard, and a new data reduction pipeline to handle more data from longer deployments reproducibly.</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echo">
    <vt:lpwstr>False</vt:lpwstr>
  </property>
  <property fmtid="{D5CDD505-2E9C-101B-9397-08002B2CF9AE}" pid="8" name="format">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